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D9927" w14:textId="77777777" w:rsidR="000674D2" w:rsidRDefault="000674D2" w:rsidP="000674D2">
      <w:pPr>
        <w:spacing w:after="0" w:line="240" w:lineRule="auto"/>
        <w:rPr>
          <w:sz w:val="20"/>
          <w:szCs w:val="20"/>
          <w:highlight w:val="yellow"/>
        </w:rPr>
      </w:pPr>
    </w:p>
    <w:p w14:paraId="2EA8D3AC" w14:textId="77777777" w:rsidR="000674D2" w:rsidRDefault="000674D2" w:rsidP="000674D2">
      <w:pPr>
        <w:spacing w:after="0" w:line="240" w:lineRule="auto"/>
        <w:rPr>
          <w:sz w:val="20"/>
          <w:szCs w:val="20"/>
          <w:highlight w:val="yellow"/>
        </w:rPr>
      </w:pPr>
    </w:p>
    <w:p w14:paraId="482881F9" w14:textId="77777777" w:rsidR="000674D2" w:rsidRDefault="000674D2" w:rsidP="000674D2">
      <w:pPr>
        <w:spacing w:after="0" w:line="240" w:lineRule="auto"/>
        <w:rPr>
          <w:sz w:val="20"/>
          <w:szCs w:val="20"/>
          <w:highlight w:val="yellow"/>
        </w:rPr>
      </w:pPr>
    </w:p>
    <w:p w14:paraId="23822276" w14:textId="77777777" w:rsidR="007C51B7" w:rsidRDefault="007C51B7" w:rsidP="000674D2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B832E2">
        <w:rPr>
          <w:sz w:val="20"/>
          <w:szCs w:val="20"/>
          <w:highlight w:val="yellow"/>
        </w:rPr>
        <w:t>DATE</w:t>
      </w:r>
    </w:p>
    <w:p w14:paraId="33566B53" w14:textId="77777777" w:rsidR="000674D2" w:rsidRPr="004324D2" w:rsidRDefault="000674D2" w:rsidP="000674D2">
      <w:pPr>
        <w:spacing w:after="0" w:line="240" w:lineRule="auto"/>
        <w:rPr>
          <w:sz w:val="20"/>
          <w:szCs w:val="20"/>
        </w:rPr>
      </w:pPr>
    </w:p>
    <w:p w14:paraId="5270CB41" w14:textId="77777777" w:rsidR="004312A3" w:rsidRDefault="004312A3" w:rsidP="000674D2">
      <w:pPr>
        <w:spacing w:after="0" w:line="240" w:lineRule="auto"/>
        <w:rPr>
          <w:sz w:val="20"/>
          <w:szCs w:val="20"/>
        </w:rPr>
      </w:pPr>
      <w:r w:rsidRPr="004324D2">
        <w:rPr>
          <w:sz w:val="20"/>
          <w:szCs w:val="20"/>
        </w:rPr>
        <w:t xml:space="preserve">Dear </w:t>
      </w:r>
      <w:r w:rsidR="00691832" w:rsidRPr="00B832E2">
        <w:rPr>
          <w:sz w:val="20"/>
          <w:szCs w:val="20"/>
          <w:highlight w:val="yellow"/>
        </w:rPr>
        <w:t>X</w:t>
      </w:r>
      <w:r w:rsidRPr="004324D2">
        <w:rPr>
          <w:sz w:val="20"/>
          <w:szCs w:val="20"/>
        </w:rPr>
        <w:t>:</w:t>
      </w:r>
    </w:p>
    <w:p w14:paraId="15601224" w14:textId="77777777" w:rsidR="000674D2" w:rsidRPr="004324D2" w:rsidRDefault="000674D2" w:rsidP="000674D2">
      <w:pPr>
        <w:spacing w:after="0" w:line="240" w:lineRule="auto"/>
        <w:rPr>
          <w:sz w:val="20"/>
          <w:szCs w:val="20"/>
        </w:rPr>
      </w:pPr>
    </w:p>
    <w:p w14:paraId="4C3253E8" w14:textId="7CFB4D2C" w:rsidR="002A06AD" w:rsidRDefault="004312A3" w:rsidP="000674D2">
      <w:pPr>
        <w:spacing w:after="0" w:line="240" w:lineRule="auto"/>
        <w:rPr>
          <w:sz w:val="20"/>
          <w:szCs w:val="20"/>
        </w:rPr>
      </w:pPr>
      <w:r w:rsidRPr="004324D2">
        <w:rPr>
          <w:sz w:val="20"/>
          <w:szCs w:val="20"/>
        </w:rPr>
        <w:t xml:space="preserve">Recently, Equifax, </w:t>
      </w:r>
      <w:r w:rsidR="00134E6A">
        <w:rPr>
          <w:sz w:val="20"/>
          <w:szCs w:val="20"/>
        </w:rPr>
        <w:t xml:space="preserve">one of the three national </w:t>
      </w:r>
      <w:r w:rsidRPr="004324D2">
        <w:rPr>
          <w:sz w:val="20"/>
          <w:szCs w:val="20"/>
        </w:rPr>
        <w:t>consumer credit reporting agenc</w:t>
      </w:r>
      <w:r w:rsidR="00134E6A">
        <w:rPr>
          <w:sz w:val="20"/>
          <w:szCs w:val="20"/>
        </w:rPr>
        <w:t>ies</w:t>
      </w:r>
      <w:r w:rsidR="002A06AD" w:rsidRPr="004324D2">
        <w:rPr>
          <w:sz w:val="20"/>
          <w:szCs w:val="20"/>
        </w:rPr>
        <w:t xml:space="preserve">, announced a major data breach. This breach affects approximately 143 million Americans. </w:t>
      </w:r>
      <w:r w:rsidR="00134E6A">
        <w:rPr>
          <w:sz w:val="20"/>
          <w:szCs w:val="20"/>
        </w:rPr>
        <w:t>This is wha</w:t>
      </w:r>
      <w:r w:rsidR="00C71856">
        <w:rPr>
          <w:sz w:val="20"/>
          <w:szCs w:val="20"/>
        </w:rPr>
        <w:t>t we know according to Equifax: t</w:t>
      </w:r>
      <w:r w:rsidR="00134E6A">
        <w:rPr>
          <w:sz w:val="20"/>
          <w:szCs w:val="20"/>
        </w:rPr>
        <w:t>he data breach occurred May – July 2017</w:t>
      </w:r>
      <w:r w:rsidR="00BA46F4">
        <w:rPr>
          <w:sz w:val="20"/>
          <w:szCs w:val="20"/>
        </w:rPr>
        <w:t>,</w:t>
      </w:r>
      <w:r w:rsidR="00134E6A">
        <w:rPr>
          <w:sz w:val="20"/>
          <w:szCs w:val="20"/>
        </w:rPr>
        <w:t xml:space="preserve"> and the information stolen includes consumers’ personally</w:t>
      </w:r>
      <w:r w:rsidR="00BA46F4">
        <w:rPr>
          <w:sz w:val="20"/>
          <w:szCs w:val="20"/>
        </w:rPr>
        <w:t xml:space="preserve"> </w:t>
      </w:r>
      <w:r w:rsidR="00134E6A">
        <w:rPr>
          <w:sz w:val="20"/>
          <w:szCs w:val="20"/>
        </w:rPr>
        <w:t>iden</w:t>
      </w:r>
      <w:r w:rsidR="00E430C7">
        <w:rPr>
          <w:sz w:val="20"/>
          <w:szCs w:val="20"/>
        </w:rPr>
        <w:t>tifiable information</w:t>
      </w:r>
      <w:r w:rsidR="00BA46F4">
        <w:rPr>
          <w:sz w:val="20"/>
          <w:szCs w:val="20"/>
        </w:rPr>
        <w:t>,</w:t>
      </w:r>
      <w:r w:rsidR="00E430C7">
        <w:rPr>
          <w:sz w:val="20"/>
          <w:szCs w:val="20"/>
        </w:rPr>
        <w:t xml:space="preserve"> including</w:t>
      </w:r>
      <w:r w:rsidR="002A06AD" w:rsidRPr="004324D2">
        <w:rPr>
          <w:sz w:val="20"/>
          <w:szCs w:val="20"/>
        </w:rPr>
        <w:t xml:space="preserve"> names, Social Security numbers, dates of birth, addresses and</w:t>
      </w:r>
      <w:r w:rsidR="00E430C7">
        <w:rPr>
          <w:sz w:val="20"/>
          <w:szCs w:val="20"/>
        </w:rPr>
        <w:t>, in</w:t>
      </w:r>
      <w:r w:rsidR="00134E6A">
        <w:rPr>
          <w:sz w:val="20"/>
          <w:szCs w:val="20"/>
        </w:rPr>
        <w:t xml:space="preserve"> some cases, </w:t>
      </w:r>
      <w:r w:rsidR="002A06AD" w:rsidRPr="004324D2">
        <w:rPr>
          <w:sz w:val="20"/>
          <w:szCs w:val="20"/>
        </w:rPr>
        <w:t xml:space="preserve">driver’s license numbers. </w:t>
      </w:r>
      <w:r w:rsidR="00134E6A">
        <w:rPr>
          <w:sz w:val="20"/>
          <w:szCs w:val="20"/>
        </w:rPr>
        <w:t>Approximately 209,000 credit card numbers and dispute documents with personally</w:t>
      </w:r>
      <w:r w:rsidR="00BA46F4">
        <w:rPr>
          <w:sz w:val="20"/>
          <w:szCs w:val="20"/>
        </w:rPr>
        <w:t xml:space="preserve"> </w:t>
      </w:r>
      <w:r w:rsidR="00134E6A">
        <w:rPr>
          <w:sz w:val="20"/>
          <w:szCs w:val="20"/>
        </w:rPr>
        <w:t>identifiable information for approximately 182,000 consumers were also stolen.</w:t>
      </w:r>
      <w:r w:rsidR="007B225D">
        <w:rPr>
          <w:sz w:val="20"/>
          <w:szCs w:val="20"/>
        </w:rPr>
        <w:t xml:space="preserve"> There is no evidence of unauthorized </w:t>
      </w:r>
      <w:r w:rsidR="00ED42DB">
        <w:rPr>
          <w:sz w:val="20"/>
          <w:szCs w:val="20"/>
        </w:rPr>
        <w:t xml:space="preserve">access to consumers’ </w:t>
      </w:r>
      <w:r w:rsidR="004B48B1">
        <w:rPr>
          <w:sz w:val="20"/>
          <w:szCs w:val="20"/>
        </w:rPr>
        <w:t>credit reporting databases.</w:t>
      </w:r>
    </w:p>
    <w:p w14:paraId="1DCD4514" w14:textId="77777777" w:rsidR="000674D2" w:rsidRPr="004324D2" w:rsidRDefault="000674D2" w:rsidP="000674D2">
      <w:pPr>
        <w:spacing w:after="0" w:line="240" w:lineRule="auto"/>
        <w:rPr>
          <w:sz w:val="20"/>
          <w:szCs w:val="20"/>
        </w:rPr>
      </w:pPr>
    </w:p>
    <w:p w14:paraId="41C9B636" w14:textId="6DEFCCA7" w:rsidR="005D03D4" w:rsidRDefault="002A06AD" w:rsidP="000674D2">
      <w:pPr>
        <w:spacing w:after="0" w:line="240" w:lineRule="auto"/>
        <w:rPr>
          <w:sz w:val="20"/>
          <w:szCs w:val="20"/>
        </w:rPr>
      </w:pPr>
      <w:r w:rsidRPr="004324D2">
        <w:rPr>
          <w:sz w:val="20"/>
          <w:szCs w:val="20"/>
        </w:rPr>
        <w:t xml:space="preserve">To be clear, </w:t>
      </w:r>
      <w:r w:rsidRPr="00B832E2">
        <w:rPr>
          <w:sz w:val="20"/>
          <w:szCs w:val="20"/>
          <w:highlight w:val="yellow"/>
        </w:rPr>
        <w:t>BANK NAME</w:t>
      </w:r>
      <w:r w:rsidRPr="004324D2">
        <w:rPr>
          <w:sz w:val="20"/>
          <w:szCs w:val="20"/>
        </w:rPr>
        <w:t xml:space="preserve"> was not compromised and </w:t>
      </w:r>
      <w:r w:rsidR="00A47827">
        <w:rPr>
          <w:sz w:val="20"/>
          <w:szCs w:val="20"/>
        </w:rPr>
        <w:t xml:space="preserve">your </w:t>
      </w:r>
      <w:r w:rsidRPr="004324D2">
        <w:rPr>
          <w:sz w:val="20"/>
          <w:szCs w:val="20"/>
        </w:rPr>
        <w:t>information was not stolen from our bank</w:t>
      </w:r>
      <w:r w:rsidR="00631448">
        <w:rPr>
          <w:sz w:val="20"/>
          <w:szCs w:val="20"/>
        </w:rPr>
        <w:t>.</w:t>
      </w:r>
      <w:r w:rsidRPr="004324D2">
        <w:rPr>
          <w:sz w:val="20"/>
          <w:szCs w:val="20"/>
        </w:rPr>
        <w:t xml:space="preserve"> However, </w:t>
      </w:r>
      <w:r w:rsidR="005D03D4" w:rsidRPr="00B832E2">
        <w:rPr>
          <w:sz w:val="20"/>
          <w:szCs w:val="20"/>
          <w:highlight w:val="yellow"/>
        </w:rPr>
        <w:t>BANK NAME</w:t>
      </w:r>
      <w:r w:rsidR="005D03D4" w:rsidRPr="004324D2">
        <w:rPr>
          <w:sz w:val="20"/>
          <w:szCs w:val="20"/>
        </w:rPr>
        <w:t xml:space="preserve"> takes the security of our customer information very seriously</w:t>
      </w:r>
      <w:r w:rsidR="00BA46F4">
        <w:rPr>
          <w:sz w:val="20"/>
          <w:szCs w:val="20"/>
        </w:rPr>
        <w:t>,</w:t>
      </w:r>
      <w:r w:rsidR="00C62B28">
        <w:rPr>
          <w:sz w:val="20"/>
          <w:szCs w:val="20"/>
        </w:rPr>
        <w:t xml:space="preserve"> and we are</w:t>
      </w:r>
      <w:r w:rsidR="005D03D4" w:rsidRPr="004324D2">
        <w:rPr>
          <w:sz w:val="20"/>
          <w:szCs w:val="20"/>
        </w:rPr>
        <w:t xml:space="preserve"> provid</w:t>
      </w:r>
      <w:r w:rsidR="00A47827">
        <w:rPr>
          <w:sz w:val="20"/>
          <w:szCs w:val="20"/>
        </w:rPr>
        <w:t>ing</w:t>
      </w:r>
      <w:r w:rsidR="005D03D4" w:rsidRPr="004324D2">
        <w:rPr>
          <w:sz w:val="20"/>
          <w:szCs w:val="20"/>
        </w:rPr>
        <w:t xml:space="preserve"> you with the information we know about th</w:t>
      </w:r>
      <w:r w:rsidR="00631448">
        <w:rPr>
          <w:sz w:val="20"/>
          <w:szCs w:val="20"/>
        </w:rPr>
        <w:t xml:space="preserve">is massive </w:t>
      </w:r>
      <w:r w:rsidR="005D03D4" w:rsidRPr="004324D2">
        <w:rPr>
          <w:sz w:val="20"/>
          <w:szCs w:val="20"/>
        </w:rPr>
        <w:t xml:space="preserve">breach and </w:t>
      </w:r>
      <w:r w:rsidR="007C51B7" w:rsidRPr="004324D2">
        <w:rPr>
          <w:sz w:val="20"/>
          <w:szCs w:val="20"/>
        </w:rPr>
        <w:t xml:space="preserve">the </w:t>
      </w:r>
      <w:r w:rsidR="005D03D4" w:rsidRPr="004324D2">
        <w:rPr>
          <w:sz w:val="20"/>
          <w:szCs w:val="20"/>
        </w:rPr>
        <w:t>steps you can take to protect your personal</w:t>
      </w:r>
      <w:r w:rsidR="00A47827">
        <w:rPr>
          <w:sz w:val="20"/>
          <w:szCs w:val="20"/>
        </w:rPr>
        <w:t>ly</w:t>
      </w:r>
      <w:r w:rsidR="00BA46F4">
        <w:rPr>
          <w:sz w:val="20"/>
          <w:szCs w:val="20"/>
        </w:rPr>
        <w:t xml:space="preserve"> </w:t>
      </w:r>
      <w:r w:rsidR="00A47827">
        <w:rPr>
          <w:sz w:val="20"/>
          <w:szCs w:val="20"/>
        </w:rPr>
        <w:t>identifiable</w:t>
      </w:r>
      <w:r w:rsidR="005D03D4" w:rsidRPr="004324D2">
        <w:rPr>
          <w:sz w:val="20"/>
          <w:szCs w:val="20"/>
        </w:rPr>
        <w:t xml:space="preserve"> information</w:t>
      </w:r>
      <w:r w:rsidR="004B48B1">
        <w:rPr>
          <w:sz w:val="20"/>
          <w:szCs w:val="20"/>
        </w:rPr>
        <w:t xml:space="preserve"> if you so desire</w:t>
      </w:r>
      <w:r w:rsidR="005D03D4" w:rsidRPr="004324D2">
        <w:rPr>
          <w:sz w:val="20"/>
          <w:szCs w:val="20"/>
        </w:rPr>
        <w:t>.</w:t>
      </w:r>
      <w:r w:rsidR="007511C7">
        <w:rPr>
          <w:sz w:val="20"/>
          <w:szCs w:val="20"/>
        </w:rPr>
        <w:t xml:space="preserve"> </w:t>
      </w:r>
      <w:r w:rsidR="00B85969" w:rsidRPr="004324D2">
        <w:rPr>
          <w:sz w:val="20"/>
          <w:szCs w:val="20"/>
        </w:rPr>
        <w:t xml:space="preserve">Following </w:t>
      </w:r>
      <w:r w:rsidR="00337A2B" w:rsidRPr="004324D2">
        <w:rPr>
          <w:sz w:val="20"/>
          <w:szCs w:val="20"/>
        </w:rPr>
        <w:t xml:space="preserve">this </w:t>
      </w:r>
      <w:r w:rsidR="00B85969" w:rsidRPr="004324D2">
        <w:rPr>
          <w:sz w:val="20"/>
          <w:szCs w:val="20"/>
        </w:rPr>
        <w:t xml:space="preserve">unprecedented </w:t>
      </w:r>
      <w:r w:rsidR="00337A2B" w:rsidRPr="004324D2">
        <w:rPr>
          <w:sz w:val="20"/>
          <w:szCs w:val="20"/>
        </w:rPr>
        <w:t>breach, we</w:t>
      </w:r>
      <w:r w:rsidR="00463D92" w:rsidRPr="004324D2">
        <w:rPr>
          <w:sz w:val="20"/>
          <w:szCs w:val="20"/>
        </w:rPr>
        <w:t xml:space="preserve"> are</w:t>
      </w:r>
      <w:r w:rsidR="00337A2B" w:rsidRPr="004324D2">
        <w:rPr>
          <w:sz w:val="20"/>
          <w:szCs w:val="20"/>
        </w:rPr>
        <w:t xml:space="preserve"> also ask</w:t>
      </w:r>
      <w:r w:rsidR="00463D92" w:rsidRPr="004324D2">
        <w:rPr>
          <w:sz w:val="20"/>
          <w:szCs w:val="20"/>
        </w:rPr>
        <w:t>ing</w:t>
      </w:r>
      <w:r w:rsidR="00337A2B" w:rsidRPr="004324D2">
        <w:rPr>
          <w:sz w:val="20"/>
          <w:szCs w:val="20"/>
        </w:rPr>
        <w:t xml:space="preserve"> our customers to be extra vigilant and report any suspicious activity in your </w:t>
      </w:r>
      <w:r w:rsidR="00337A2B" w:rsidRPr="00B832E2">
        <w:rPr>
          <w:sz w:val="20"/>
          <w:szCs w:val="20"/>
          <w:highlight w:val="yellow"/>
        </w:rPr>
        <w:t>BANK NAME</w:t>
      </w:r>
      <w:r w:rsidR="00337A2B" w:rsidRPr="004324D2">
        <w:rPr>
          <w:sz w:val="20"/>
          <w:szCs w:val="20"/>
        </w:rPr>
        <w:t xml:space="preserve"> accounts to </w:t>
      </w:r>
      <w:r w:rsidR="00337A2B" w:rsidRPr="00B832E2">
        <w:rPr>
          <w:sz w:val="20"/>
          <w:szCs w:val="20"/>
          <w:highlight w:val="yellow"/>
        </w:rPr>
        <w:t>BANK NAME</w:t>
      </w:r>
      <w:r w:rsidR="00691832" w:rsidRPr="004324D2">
        <w:rPr>
          <w:sz w:val="20"/>
          <w:szCs w:val="20"/>
        </w:rPr>
        <w:t xml:space="preserve"> by calling </w:t>
      </w:r>
      <w:r w:rsidR="00764F17">
        <w:rPr>
          <w:sz w:val="20"/>
          <w:szCs w:val="20"/>
          <w:highlight w:val="yellow"/>
        </w:rPr>
        <w:t>XXX</w:t>
      </w:r>
      <w:r w:rsidR="00BA46F4">
        <w:rPr>
          <w:sz w:val="20"/>
          <w:szCs w:val="20"/>
          <w:highlight w:val="yellow"/>
        </w:rPr>
        <w:t>-</w:t>
      </w:r>
      <w:r w:rsidR="00764F17">
        <w:rPr>
          <w:sz w:val="20"/>
          <w:szCs w:val="20"/>
          <w:highlight w:val="yellow"/>
        </w:rPr>
        <w:t>XXX-</w:t>
      </w:r>
      <w:r w:rsidR="00764F17" w:rsidRPr="00764F17">
        <w:rPr>
          <w:sz w:val="20"/>
          <w:szCs w:val="20"/>
          <w:highlight w:val="yellow"/>
        </w:rPr>
        <w:t>XXXX</w:t>
      </w:r>
      <w:r w:rsidR="00691832" w:rsidRPr="004324D2">
        <w:rPr>
          <w:sz w:val="20"/>
          <w:szCs w:val="20"/>
        </w:rPr>
        <w:t xml:space="preserve"> or visiting [</w:t>
      </w:r>
      <w:r w:rsidR="00691832" w:rsidRPr="00B832E2">
        <w:rPr>
          <w:sz w:val="20"/>
          <w:szCs w:val="20"/>
          <w:highlight w:val="yellow"/>
        </w:rPr>
        <w:t>WWW.BANK.COM</w:t>
      </w:r>
      <w:r w:rsidR="00691832" w:rsidRPr="004324D2">
        <w:rPr>
          <w:sz w:val="20"/>
          <w:szCs w:val="20"/>
        </w:rPr>
        <w:t>].</w:t>
      </w:r>
    </w:p>
    <w:p w14:paraId="21A4B164" w14:textId="77777777" w:rsidR="000674D2" w:rsidRPr="004324D2" w:rsidRDefault="000674D2" w:rsidP="000674D2">
      <w:pPr>
        <w:spacing w:after="0" w:line="240" w:lineRule="auto"/>
        <w:rPr>
          <w:sz w:val="20"/>
          <w:szCs w:val="20"/>
        </w:rPr>
      </w:pPr>
    </w:p>
    <w:p w14:paraId="726001AB" w14:textId="7694BDF4" w:rsidR="001909B7" w:rsidRDefault="00691832" w:rsidP="000674D2">
      <w:pPr>
        <w:spacing w:after="0" w:line="240" w:lineRule="auto"/>
        <w:rPr>
          <w:sz w:val="20"/>
          <w:szCs w:val="20"/>
        </w:rPr>
      </w:pPr>
      <w:r w:rsidRPr="004324D2">
        <w:rPr>
          <w:sz w:val="20"/>
          <w:szCs w:val="20"/>
        </w:rPr>
        <w:t>Equifax has established a website</w:t>
      </w:r>
      <w:r w:rsidR="00BA46F4">
        <w:rPr>
          <w:sz w:val="20"/>
          <w:szCs w:val="20"/>
        </w:rPr>
        <w:t xml:space="preserve"> that informs </w:t>
      </w:r>
      <w:r w:rsidRPr="004324D2">
        <w:rPr>
          <w:sz w:val="20"/>
          <w:szCs w:val="20"/>
        </w:rPr>
        <w:t xml:space="preserve">consumers if they may be </w:t>
      </w:r>
      <w:r w:rsidR="00BA46F4">
        <w:rPr>
          <w:sz w:val="20"/>
          <w:szCs w:val="20"/>
        </w:rPr>
        <w:t xml:space="preserve">affected by </w:t>
      </w:r>
      <w:r w:rsidRPr="004324D2">
        <w:rPr>
          <w:sz w:val="20"/>
          <w:szCs w:val="20"/>
        </w:rPr>
        <w:t>the breach</w:t>
      </w:r>
      <w:r w:rsidR="00BA46F4">
        <w:rPr>
          <w:sz w:val="20"/>
          <w:szCs w:val="20"/>
        </w:rPr>
        <w:t>, provides additional information on</w:t>
      </w:r>
      <w:r w:rsidR="007511C7">
        <w:rPr>
          <w:sz w:val="20"/>
          <w:szCs w:val="20"/>
        </w:rPr>
        <w:t xml:space="preserve"> the breach</w:t>
      </w:r>
      <w:r w:rsidR="00BA46F4">
        <w:rPr>
          <w:sz w:val="20"/>
          <w:szCs w:val="20"/>
        </w:rPr>
        <w:t xml:space="preserve">, and offers </w:t>
      </w:r>
      <w:r w:rsidR="00A47827">
        <w:rPr>
          <w:sz w:val="20"/>
          <w:szCs w:val="20"/>
        </w:rPr>
        <w:t>complimentary identity theft protection and credit file monitoring</w:t>
      </w:r>
      <w:r w:rsidR="007511C7">
        <w:rPr>
          <w:sz w:val="20"/>
          <w:szCs w:val="20"/>
        </w:rPr>
        <w:t>.</w:t>
      </w:r>
      <w:r w:rsidRPr="004324D2">
        <w:rPr>
          <w:sz w:val="20"/>
          <w:szCs w:val="20"/>
        </w:rPr>
        <w:t xml:space="preserve"> This information is available at </w:t>
      </w:r>
      <w:hyperlink r:id="rId7" w:history="1">
        <w:r w:rsidRPr="004324D2">
          <w:rPr>
            <w:rStyle w:val="Hyperlink"/>
            <w:sz w:val="20"/>
            <w:szCs w:val="20"/>
          </w:rPr>
          <w:t>www.equifaxsecurity2017.com</w:t>
        </w:r>
      </w:hyperlink>
      <w:r w:rsidRPr="004324D2">
        <w:rPr>
          <w:sz w:val="20"/>
          <w:szCs w:val="20"/>
        </w:rPr>
        <w:t xml:space="preserve">. </w:t>
      </w:r>
      <w:r w:rsidR="001909B7" w:rsidRPr="004324D2">
        <w:rPr>
          <w:sz w:val="20"/>
          <w:szCs w:val="20"/>
        </w:rPr>
        <w:t xml:space="preserve">To protect your identity and personal information, </w:t>
      </w:r>
      <w:r w:rsidR="00A47827" w:rsidRPr="00B832E2">
        <w:rPr>
          <w:sz w:val="20"/>
          <w:szCs w:val="20"/>
          <w:highlight w:val="yellow"/>
        </w:rPr>
        <w:t>BANK NAME</w:t>
      </w:r>
      <w:r w:rsidR="00A47827">
        <w:rPr>
          <w:sz w:val="20"/>
          <w:szCs w:val="20"/>
        </w:rPr>
        <w:t xml:space="preserve"> strongly encourages our customers </w:t>
      </w:r>
      <w:r w:rsidR="00A33E94">
        <w:rPr>
          <w:sz w:val="20"/>
          <w:szCs w:val="20"/>
        </w:rPr>
        <w:t>to take the actions noted below.</w:t>
      </w:r>
    </w:p>
    <w:p w14:paraId="463619A7" w14:textId="77777777" w:rsidR="000674D2" w:rsidRPr="004324D2" w:rsidRDefault="000674D2" w:rsidP="000674D2">
      <w:pPr>
        <w:spacing w:after="0"/>
        <w:rPr>
          <w:sz w:val="20"/>
          <w:szCs w:val="20"/>
        </w:rPr>
      </w:pPr>
    </w:p>
    <w:p w14:paraId="682CE4F8" w14:textId="4348405D" w:rsidR="004C4B6D" w:rsidRPr="004324D2" w:rsidRDefault="004C4B6D" w:rsidP="000674D2">
      <w:pPr>
        <w:numPr>
          <w:ilvl w:val="0"/>
          <w:numId w:val="1"/>
        </w:numPr>
        <w:spacing w:after="0" w:line="240" w:lineRule="auto"/>
        <w:ind w:right="892"/>
        <w:rPr>
          <w:sz w:val="20"/>
          <w:szCs w:val="20"/>
        </w:rPr>
      </w:pPr>
      <w:r w:rsidRPr="004324D2">
        <w:rPr>
          <w:color w:val="181717"/>
          <w:sz w:val="20"/>
          <w:szCs w:val="20"/>
        </w:rPr>
        <w:t xml:space="preserve">Review your account statements to spot any </w:t>
      </w:r>
      <w:r w:rsidR="0038303C">
        <w:rPr>
          <w:color w:val="181717"/>
          <w:sz w:val="20"/>
          <w:szCs w:val="20"/>
        </w:rPr>
        <w:t xml:space="preserve">suspicious </w:t>
      </w:r>
      <w:r w:rsidR="00A33E94">
        <w:rPr>
          <w:color w:val="181717"/>
          <w:sz w:val="20"/>
          <w:szCs w:val="20"/>
        </w:rPr>
        <w:t>transactions.</w:t>
      </w:r>
      <w:r w:rsidRPr="004324D2">
        <w:rPr>
          <w:color w:val="181717"/>
          <w:sz w:val="20"/>
          <w:szCs w:val="20"/>
        </w:rPr>
        <w:t xml:space="preserve"> You can also monitor your account activity online at any time at </w:t>
      </w:r>
      <w:r w:rsidRPr="00B832E2">
        <w:rPr>
          <w:color w:val="181717"/>
          <w:sz w:val="20"/>
          <w:szCs w:val="20"/>
          <w:highlight w:val="yellow"/>
        </w:rPr>
        <w:t>[</w:t>
      </w:r>
      <w:r w:rsidR="00B832E2">
        <w:rPr>
          <w:color w:val="181717"/>
          <w:sz w:val="20"/>
          <w:szCs w:val="20"/>
          <w:highlight w:val="yellow"/>
        </w:rPr>
        <w:t>WWW.BANK.COM</w:t>
      </w:r>
      <w:r w:rsidRPr="00B832E2">
        <w:rPr>
          <w:color w:val="181717"/>
          <w:sz w:val="20"/>
          <w:szCs w:val="20"/>
          <w:highlight w:val="yellow"/>
        </w:rPr>
        <w:t>].</w:t>
      </w:r>
      <w:r w:rsidRPr="004324D2">
        <w:rPr>
          <w:color w:val="181717"/>
          <w:sz w:val="20"/>
          <w:szCs w:val="20"/>
        </w:rPr>
        <w:t xml:space="preserve"> </w:t>
      </w:r>
    </w:p>
    <w:p w14:paraId="1D58F502" w14:textId="77777777" w:rsidR="004C4B6D" w:rsidRPr="004324D2" w:rsidRDefault="004C4B6D" w:rsidP="000674D2">
      <w:pPr>
        <w:numPr>
          <w:ilvl w:val="0"/>
          <w:numId w:val="1"/>
        </w:numPr>
        <w:spacing w:after="0" w:line="240" w:lineRule="auto"/>
        <w:ind w:right="892"/>
        <w:rPr>
          <w:sz w:val="20"/>
          <w:szCs w:val="20"/>
        </w:rPr>
      </w:pPr>
      <w:r w:rsidRPr="004324D2">
        <w:rPr>
          <w:color w:val="181717"/>
          <w:sz w:val="20"/>
          <w:szCs w:val="20"/>
        </w:rPr>
        <w:t xml:space="preserve">If you spot any </w:t>
      </w:r>
      <w:r w:rsidR="002F632A">
        <w:rPr>
          <w:color w:val="181717"/>
          <w:sz w:val="20"/>
          <w:szCs w:val="20"/>
        </w:rPr>
        <w:t>suspicious transactions</w:t>
      </w:r>
      <w:r w:rsidRPr="004324D2">
        <w:rPr>
          <w:color w:val="181717"/>
          <w:sz w:val="20"/>
          <w:szCs w:val="20"/>
        </w:rPr>
        <w:t xml:space="preserve">, please contact us immediately at </w:t>
      </w:r>
      <w:r w:rsidRPr="00B832E2">
        <w:rPr>
          <w:color w:val="181717"/>
          <w:sz w:val="20"/>
          <w:szCs w:val="20"/>
          <w:highlight w:val="yellow"/>
        </w:rPr>
        <w:t>1-8XX-XXX-XXXX</w:t>
      </w:r>
      <w:r w:rsidRPr="004324D2">
        <w:rPr>
          <w:color w:val="181717"/>
          <w:sz w:val="20"/>
          <w:szCs w:val="20"/>
        </w:rPr>
        <w:t xml:space="preserve">. </w:t>
      </w:r>
    </w:p>
    <w:p w14:paraId="610B081A" w14:textId="1B618659" w:rsidR="004324D2" w:rsidRPr="000674D2" w:rsidRDefault="009723BA" w:rsidP="000674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324D2">
        <w:rPr>
          <w:sz w:val="20"/>
          <w:szCs w:val="20"/>
        </w:rPr>
        <w:t xml:space="preserve">Consider if you should place an initial fraud alert on your credit report (see </w:t>
      </w:r>
      <w:hyperlink r:id="rId8" w:history="1">
        <w:r w:rsidRPr="004324D2">
          <w:rPr>
            <w:rStyle w:val="Hyperlink"/>
            <w:sz w:val="20"/>
            <w:szCs w:val="20"/>
          </w:rPr>
          <w:t>https://www.consumer.ftc.gov/articles/0275-place-fraud-alert</w:t>
        </w:r>
      </w:hyperlink>
      <w:r w:rsidRPr="004324D2">
        <w:rPr>
          <w:sz w:val="20"/>
          <w:szCs w:val="20"/>
        </w:rPr>
        <w:t>)</w:t>
      </w:r>
      <w:r w:rsidR="002F632A">
        <w:rPr>
          <w:sz w:val="20"/>
          <w:szCs w:val="20"/>
        </w:rPr>
        <w:t>.</w:t>
      </w:r>
    </w:p>
    <w:p w14:paraId="7F42BA03" w14:textId="45D9FA0A" w:rsidR="009723BA" w:rsidRPr="004324D2" w:rsidRDefault="009723BA" w:rsidP="000674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324D2">
        <w:rPr>
          <w:sz w:val="20"/>
          <w:szCs w:val="20"/>
        </w:rPr>
        <w:t xml:space="preserve">Consider if you should freeze your credit </w:t>
      </w:r>
      <w:r w:rsidR="002F632A">
        <w:rPr>
          <w:sz w:val="20"/>
          <w:szCs w:val="20"/>
        </w:rPr>
        <w:t>file</w:t>
      </w:r>
      <w:r w:rsidR="00B832E2">
        <w:rPr>
          <w:sz w:val="20"/>
          <w:szCs w:val="20"/>
        </w:rPr>
        <w:t xml:space="preserve"> </w:t>
      </w:r>
      <w:r w:rsidRPr="004324D2">
        <w:rPr>
          <w:sz w:val="20"/>
          <w:szCs w:val="20"/>
        </w:rPr>
        <w:t xml:space="preserve">(see </w:t>
      </w:r>
      <w:hyperlink r:id="rId9" w:history="1">
        <w:r w:rsidRPr="004324D2">
          <w:rPr>
            <w:rStyle w:val="Hyperlink"/>
            <w:sz w:val="20"/>
            <w:szCs w:val="20"/>
          </w:rPr>
          <w:t>https://www.consumer.ftc.gov/articles/0497-credit-freeze-faqs</w:t>
        </w:r>
      </w:hyperlink>
      <w:r w:rsidRPr="004324D2">
        <w:rPr>
          <w:sz w:val="20"/>
          <w:szCs w:val="20"/>
        </w:rPr>
        <w:t>)</w:t>
      </w:r>
      <w:r w:rsidR="00B832E2">
        <w:rPr>
          <w:sz w:val="20"/>
          <w:szCs w:val="20"/>
        </w:rPr>
        <w:t>.</w:t>
      </w:r>
      <w:r w:rsidRPr="004324D2">
        <w:rPr>
          <w:sz w:val="20"/>
          <w:szCs w:val="20"/>
        </w:rPr>
        <w:t xml:space="preserve"> </w:t>
      </w:r>
    </w:p>
    <w:p w14:paraId="3DE70CDC" w14:textId="4D1AD37B" w:rsidR="004C4B6D" w:rsidRPr="000674D2" w:rsidRDefault="004C4B6D" w:rsidP="000674D2">
      <w:pPr>
        <w:numPr>
          <w:ilvl w:val="0"/>
          <w:numId w:val="1"/>
        </w:numPr>
        <w:spacing w:after="0" w:line="240" w:lineRule="auto"/>
        <w:ind w:right="892"/>
        <w:rPr>
          <w:sz w:val="20"/>
          <w:szCs w:val="20"/>
        </w:rPr>
      </w:pPr>
      <w:r w:rsidRPr="004324D2">
        <w:rPr>
          <w:color w:val="181717"/>
          <w:sz w:val="20"/>
          <w:szCs w:val="20"/>
        </w:rPr>
        <w:t>Review your credit reports for accuracy. Call any one of the three credit reporting agencies to receive</w:t>
      </w:r>
      <w:r w:rsidR="003879C4">
        <w:rPr>
          <w:color w:val="181717"/>
          <w:sz w:val="20"/>
          <w:szCs w:val="20"/>
        </w:rPr>
        <w:t xml:space="preserve"> your free annual credit report or visit </w:t>
      </w:r>
      <w:hyperlink r:id="rId10" w:history="1">
        <w:r w:rsidR="003879C4" w:rsidRPr="00140B7B">
          <w:rPr>
            <w:rStyle w:val="Hyperlink"/>
            <w:sz w:val="20"/>
            <w:szCs w:val="20"/>
          </w:rPr>
          <w:t>www.annualcreditreport.gov</w:t>
        </w:r>
      </w:hyperlink>
      <w:r w:rsidR="000674D2">
        <w:rPr>
          <w:color w:val="181717"/>
          <w:sz w:val="20"/>
          <w:szCs w:val="20"/>
        </w:rPr>
        <w:t>.</w:t>
      </w:r>
    </w:p>
    <w:p w14:paraId="192FE5B6" w14:textId="77777777" w:rsidR="000674D2" w:rsidRPr="004324D2" w:rsidRDefault="000674D2" w:rsidP="000674D2">
      <w:pPr>
        <w:spacing w:after="0" w:line="240" w:lineRule="auto"/>
        <w:ind w:left="405" w:right="892"/>
        <w:rPr>
          <w:sz w:val="20"/>
          <w:szCs w:val="20"/>
        </w:rPr>
      </w:pPr>
    </w:p>
    <w:p w14:paraId="63E532DB" w14:textId="77777777" w:rsidR="00AE08A9" w:rsidRDefault="00D220AF" w:rsidP="000674D2">
      <w:pPr>
        <w:spacing w:after="0" w:line="240" w:lineRule="auto"/>
        <w:ind w:left="1260"/>
        <w:rPr>
          <w:b/>
          <w:color w:val="181717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5C6578" wp14:editId="0BADB7D0">
                <wp:simplePos x="0" y="0"/>
                <wp:positionH relativeFrom="column">
                  <wp:posOffset>3574415</wp:posOffset>
                </wp:positionH>
                <wp:positionV relativeFrom="paragraph">
                  <wp:posOffset>31750</wp:posOffset>
                </wp:positionV>
                <wp:extent cx="45085" cy="809625"/>
                <wp:effectExtent l="0" t="0" r="0" b="28575"/>
                <wp:wrapSquare wrapText="bothSides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085" cy="809625"/>
                          <a:chOff x="0" y="0"/>
                          <a:chExt cx="12700" cy="475044"/>
                        </a:xfrm>
                      </wpg:grpSpPr>
                      <wps:wsp>
                        <wps:cNvPr id="4" name="Shape 114"/>
                        <wps:cNvSpPr/>
                        <wps:spPr>
                          <a:xfrm>
                            <a:off x="0" y="0"/>
                            <a:ext cx="0" cy="475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044">
                                <a:moveTo>
                                  <a:pt x="0" y="0"/>
                                </a:moveTo>
                                <a:lnTo>
                                  <a:pt x="0" y="475044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33CC2B" id="Group 3" o:spid="_x0000_s1026" style="position:absolute;margin-left:281.45pt;margin-top:2.5pt;width:3.55pt;height:63.75pt;z-index:251665408" coordsize="12700,47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">
                <v:shape id="Shape 114" o:spid="_x0000_s1027" style="position:absolute;width:0;height:475044;visibility:visible;mso-wrap-style:square;v-text-anchor:top" coordsize="0,47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" path="m,l,475044e" filled="f" strokecolor="#181717" strokeweight="1pt">
                  <v:stroke miterlimit="1" joinstyle="miter"/>
                  <v:path arrowok="t" textboxrect="0,0,0,475044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716CEC" wp14:editId="746C62B6">
                <wp:simplePos x="0" y="0"/>
                <wp:positionH relativeFrom="column">
                  <wp:posOffset>2019300</wp:posOffset>
                </wp:positionH>
                <wp:positionV relativeFrom="paragraph">
                  <wp:posOffset>22225</wp:posOffset>
                </wp:positionV>
                <wp:extent cx="45085" cy="809625"/>
                <wp:effectExtent l="0" t="0" r="0" b="28575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085" cy="809625"/>
                          <a:chOff x="0" y="0"/>
                          <a:chExt cx="12700" cy="475044"/>
                        </a:xfrm>
                      </wpg:grpSpPr>
                      <wps:wsp>
                        <wps:cNvPr id="2" name="Shape 114"/>
                        <wps:cNvSpPr/>
                        <wps:spPr>
                          <a:xfrm>
                            <a:off x="0" y="0"/>
                            <a:ext cx="0" cy="475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044">
                                <a:moveTo>
                                  <a:pt x="0" y="0"/>
                                </a:moveTo>
                                <a:lnTo>
                                  <a:pt x="0" y="475044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384854" id="Group 1" o:spid="_x0000_s1026" style="position:absolute;margin-left:159pt;margin-top:1.75pt;width:3.55pt;height:63.75pt;z-index:251663360" coordsize="12700,47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">
                <v:shape id="Shape 114" o:spid="_x0000_s1027" style="position:absolute;width:0;height:475044;visibility:visible;mso-wrap-style:square;v-text-anchor:top" coordsize="0,47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" path="m,l,475044e" filled="f" strokecolor="#181717" strokeweight="1pt">
                  <v:stroke miterlimit="1" joinstyle="miter"/>
                  <v:path arrowok="t" textboxrect="0,0,0,475044"/>
                </v:shape>
                <w10:wrap type="square"/>
              </v:group>
            </w:pict>
          </mc:Fallback>
        </mc:AlternateContent>
      </w:r>
      <w:r w:rsidR="004C4B6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13DD2B" wp14:editId="7E18C0F7">
                <wp:simplePos x="0" y="0"/>
                <wp:positionH relativeFrom="column">
                  <wp:posOffset>608965</wp:posOffset>
                </wp:positionH>
                <wp:positionV relativeFrom="paragraph">
                  <wp:posOffset>21590</wp:posOffset>
                </wp:positionV>
                <wp:extent cx="45085" cy="809625"/>
                <wp:effectExtent l="0" t="0" r="0" b="28575"/>
                <wp:wrapSquare wrapText="bothSides"/>
                <wp:docPr id="1392" name="Group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085" cy="809625"/>
                          <a:chOff x="0" y="0"/>
                          <a:chExt cx="12700" cy="475044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0" cy="475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044">
                                <a:moveTo>
                                  <a:pt x="0" y="0"/>
                                </a:moveTo>
                                <a:lnTo>
                                  <a:pt x="0" y="475044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E04534" id="Group 1392" o:spid="_x0000_s1026" style="position:absolute;margin-left:47.95pt;margin-top:1.7pt;width:3.55pt;height:63.75pt;z-index:251659264" coordsize="12700,47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">
                <v:shape id="Shape 114" o:spid="_x0000_s1027" style="position:absolute;width:0;height:475044;visibility:visible;mso-wrap-style:square;v-text-anchor:top" coordsize="0,47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" path="m,l,475044e" filled="f" strokecolor="#181717" strokeweight="1pt">
                  <v:stroke miterlimit="1" joinstyle="miter"/>
                  <v:path arrowok="t" textboxrect="0,0,0,475044"/>
                </v:shape>
                <w10:wrap type="square"/>
              </v:group>
            </w:pict>
          </mc:Fallback>
        </mc:AlternateContent>
      </w:r>
      <w:r w:rsidR="00AE08A9">
        <w:rPr>
          <w:b/>
          <w:color w:val="181717"/>
          <w:sz w:val="20"/>
        </w:rPr>
        <w:t xml:space="preserve">Experian </w:t>
      </w:r>
      <w:r>
        <w:rPr>
          <w:b/>
          <w:color w:val="181717"/>
          <w:sz w:val="20"/>
        </w:rPr>
        <w:t>®</w:t>
      </w:r>
      <w:r>
        <w:rPr>
          <w:b/>
          <w:color w:val="181717"/>
          <w:sz w:val="20"/>
        </w:rPr>
        <w:tab/>
        <w:t xml:space="preserve">  </w:t>
      </w:r>
      <w:proofErr w:type="spellStart"/>
      <w:r w:rsidR="00AE08A9">
        <w:rPr>
          <w:b/>
          <w:color w:val="181717"/>
          <w:sz w:val="20"/>
        </w:rPr>
        <w:t>TransUnion</w:t>
      </w:r>
      <w:proofErr w:type="spellEnd"/>
      <w:r w:rsidR="00AE08A9">
        <w:rPr>
          <w:b/>
          <w:color w:val="181717"/>
          <w:sz w:val="20"/>
        </w:rPr>
        <w:t>®</w:t>
      </w:r>
      <w:r w:rsidR="003879C4">
        <w:rPr>
          <w:b/>
          <w:color w:val="181717"/>
          <w:sz w:val="20"/>
        </w:rPr>
        <w:t xml:space="preserve">       </w:t>
      </w:r>
      <w:r w:rsidR="00052FD2">
        <w:rPr>
          <w:b/>
          <w:color w:val="181717"/>
          <w:sz w:val="20"/>
        </w:rPr>
        <w:t>Equifax®</w:t>
      </w:r>
      <w:r w:rsidR="00AE08A9">
        <w:rPr>
          <w:b/>
          <w:color w:val="181717"/>
          <w:sz w:val="20"/>
        </w:rPr>
        <w:tab/>
      </w:r>
    </w:p>
    <w:p w14:paraId="6ADCDAB7" w14:textId="788C7328" w:rsidR="00AE08A9" w:rsidRDefault="00AE08A9" w:rsidP="000674D2">
      <w:pPr>
        <w:spacing w:after="0" w:line="240" w:lineRule="auto"/>
        <w:ind w:left="1260"/>
        <w:rPr>
          <w:b/>
          <w:color w:val="181717"/>
          <w:sz w:val="20"/>
        </w:rPr>
      </w:pPr>
      <w:r>
        <w:rPr>
          <w:b/>
          <w:color w:val="181717"/>
          <w:sz w:val="20"/>
        </w:rPr>
        <w:t>P.O. Box 9554</w:t>
      </w:r>
      <w:r>
        <w:rPr>
          <w:b/>
          <w:color w:val="181717"/>
          <w:sz w:val="20"/>
        </w:rPr>
        <w:tab/>
      </w:r>
      <w:r w:rsidR="00D220AF">
        <w:rPr>
          <w:b/>
          <w:color w:val="181717"/>
          <w:sz w:val="20"/>
        </w:rPr>
        <w:t xml:space="preserve">  </w:t>
      </w:r>
      <w:r w:rsidR="00094A52">
        <w:rPr>
          <w:b/>
          <w:color w:val="181717"/>
          <w:sz w:val="20"/>
        </w:rPr>
        <w:t>P.O. Box 2000</w:t>
      </w:r>
      <w:r>
        <w:rPr>
          <w:b/>
          <w:color w:val="181717"/>
          <w:sz w:val="20"/>
        </w:rPr>
        <w:tab/>
      </w:r>
      <w:r w:rsidR="003879C4">
        <w:rPr>
          <w:b/>
          <w:color w:val="181717"/>
          <w:sz w:val="20"/>
        </w:rPr>
        <w:t xml:space="preserve">   </w:t>
      </w:r>
      <w:r w:rsidR="000674D2">
        <w:rPr>
          <w:b/>
          <w:color w:val="181717"/>
          <w:sz w:val="20"/>
        </w:rPr>
        <w:t xml:space="preserve">    </w:t>
      </w:r>
      <w:r w:rsidR="00052FD2">
        <w:rPr>
          <w:b/>
          <w:color w:val="181717"/>
          <w:sz w:val="20"/>
        </w:rPr>
        <w:t>P.O. Box 740241</w:t>
      </w:r>
    </w:p>
    <w:p w14:paraId="35BF928C" w14:textId="6FB2DA7A" w:rsidR="004C4B6D" w:rsidRPr="00094A52" w:rsidRDefault="000674D2" w:rsidP="000674D2">
      <w:pPr>
        <w:spacing w:after="0" w:line="240" w:lineRule="auto"/>
        <w:ind w:left="1260"/>
        <w:rPr>
          <w:b/>
          <w:color w:val="181717"/>
          <w:sz w:val="20"/>
        </w:rPr>
      </w:pPr>
      <w:r>
        <w:rPr>
          <w:b/>
          <w:color w:val="181717"/>
          <w:sz w:val="20"/>
        </w:rPr>
        <w:t xml:space="preserve">Allen, TX </w:t>
      </w:r>
      <w:r w:rsidR="00AE08A9">
        <w:rPr>
          <w:b/>
          <w:color w:val="181717"/>
          <w:sz w:val="20"/>
        </w:rPr>
        <w:t>75013</w:t>
      </w:r>
      <w:r w:rsidR="00094A52">
        <w:rPr>
          <w:b/>
          <w:color w:val="181717"/>
          <w:sz w:val="20"/>
        </w:rPr>
        <w:t xml:space="preserve">                    </w:t>
      </w:r>
      <w:r w:rsidR="00D220AF">
        <w:rPr>
          <w:b/>
          <w:color w:val="181717"/>
          <w:sz w:val="20"/>
        </w:rPr>
        <w:t xml:space="preserve">       </w:t>
      </w:r>
      <w:r w:rsidR="00D220AF">
        <w:rPr>
          <w:b/>
          <w:color w:val="181717"/>
          <w:sz w:val="20"/>
        </w:rPr>
        <w:br/>
      </w:r>
      <w:r w:rsidR="00094A52">
        <w:rPr>
          <w:b/>
          <w:color w:val="181717"/>
          <w:sz w:val="20"/>
        </w:rPr>
        <w:t>Chester, PA 19016</w:t>
      </w:r>
      <w:r w:rsidR="004C4B6D">
        <w:rPr>
          <w:b/>
          <w:color w:val="181717"/>
          <w:sz w:val="20"/>
        </w:rPr>
        <w:t xml:space="preserve">        </w:t>
      </w:r>
      <w:r w:rsidR="00052FD2">
        <w:rPr>
          <w:b/>
          <w:color w:val="181717"/>
          <w:sz w:val="20"/>
        </w:rPr>
        <w:t>Atlanta, GA 30374</w:t>
      </w:r>
      <w:r w:rsidR="004C4B6D">
        <w:rPr>
          <w:b/>
          <w:color w:val="181717"/>
          <w:sz w:val="20"/>
        </w:rPr>
        <w:t xml:space="preserve">                         </w:t>
      </w:r>
    </w:p>
    <w:p w14:paraId="73071E30" w14:textId="77777777" w:rsidR="000674D2" w:rsidRDefault="004C4B6D" w:rsidP="000674D2">
      <w:pPr>
        <w:spacing w:after="0" w:line="240" w:lineRule="auto"/>
        <w:ind w:left="1260"/>
        <w:rPr>
          <w:b/>
          <w:color w:val="181717"/>
          <w:sz w:val="20"/>
        </w:rPr>
      </w:pPr>
      <w:r>
        <w:rPr>
          <w:b/>
          <w:color w:val="181717"/>
          <w:sz w:val="20"/>
        </w:rPr>
        <w:t xml:space="preserve">888-397-3742                  </w:t>
      </w:r>
      <w:r w:rsidR="00094A52">
        <w:rPr>
          <w:b/>
          <w:color w:val="181717"/>
          <w:sz w:val="20"/>
        </w:rPr>
        <w:t xml:space="preserve">               </w:t>
      </w:r>
      <w:r w:rsidR="00D220AF">
        <w:rPr>
          <w:b/>
          <w:color w:val="181717"/>
          <w:sz w:val="20"/>
        </w:rPr>
        <w:t xml:space="preserve">     </w:t>
      </w:r>
      <w:r w:rsidR="00D220AF">
        <w:rPr>
          <w:b/>
          <w:color w:val="181717"/>
          <w:sz w:val="20"/>
        </w:rPr>
        <w:br/>
      </w:r>
      <w:r>
        <w:rPr>
          <w:b/>
          <w:color w:val="181717"/>
          <w:sz w:val="20"/>
        </w:rPr>
        <w:t>800-680-7289</w:t>
      </w:r>
      <w:r w:rsidR="00052FD2">
        <w:rPr>
          <w:b/>
          <w:color w:val="181717"/>
          <w:sz w:val="20"/>
        </w:rPr>
        <w:t xml:space="preserve"> </w:t>
      </w:r>
      <w:r w:rsidR="003879C4">
        <w:rPr>
          <w:b/>
          <w:color w:val="181717"/>
          <w:sz w:val="20"/>
        </w:rPr>
        <w:t xml:space="preserve">           </w:t>
      </w:r>
      <w:r w:rsidR="00052FD2">
        <w:rPr>
          <w:b/>
          <w:color w:val="181717"/>
          <w:sz w:val="20"/>
        </w:rPr>
        <w:t>800-349-5191</w:t>
      </w:r>
    </w:p>
    <w:p w14:paraId="5D8C2A4B" w14:textId="653F5B68" w:rsidR="000674D2" w:rsidRDefault="000674D2" w:rsidP="000674D2">
      <w:pPr>
        <w:spacing w:after="0" w:line="240" w:lineRule="auto"/>
        <w:ind w:left="1260"/>
        <w:rPr>
          <w:b/>
          <w:color w:val="181717"/>
          <w:sz w:val="20"/>
        </w:rPr>
      </w:pPr>
      <w:hyperlink r:id="rId11" w:history="1">
        <w:r w:rsidRPr="00832445">
          <w:rPr>
            <w:rStyle w:val="Hyperlink"/>
            <w:b/>
            <w:sz w:val="20"/>
          </w:rPr>
          <w:t>www.experian.com</w:t>
        </w:r>
      </w:hyperlink>
      <w:r>
        <w:rPr>
          <w:b/>
          <w:color w:val="181717"/>
          <w:sz w:val="20"/>
        </w:rPr>
        <w:t xml:space="preserve"> </w:t>
      </w:r>
      <w:hyperlink r:id="rId12" w:history="1">
        <w:r w:rsidRPr="00832445">
          <w:rPr>
            <w:rStyle w:val="Hyperlink"/>
            <w:b/>
            <w:sz w:val="20"/>
          </w:rPr>
          <w:t>www.transunion.com</w:t>
        </w:r>
      </w:hyperlink>
      <w:r>
        <w:rPr>
          <w:b/>
          <w:color w:val="181717"/>
          <w:sz w:val="20"/>
        </w:rPr>
        <w:t xml:space="preserve"> </w:t>
      </w:r>
      <w:hyperlink r:id="rId13" w:history="1">
        <w:r w:rsidRPr="00832445">
          <w:rPr>
            <w:rStyle w:val="Hyperlink"/>
            <w:b/>
            <w:sz w:val="20"/>
          </w:rPr>
          <w:t>www.equifax.com</w:t>
        </w:r>
      </w:hyperlink>
    </w:p>
    <w:p w14:paraId="3638773A" w14:textId="77777777" w:rsidR="000674D2" w:rsidRPr="000674D2" w:rsidRDefault="000674D2" w:rsidP="000674D2">
      <w:pPr>
        <w:spacing w:after="0" w:line="240" w:lineRule="auto"/>
        <w:ind w:left="1260"/>
        <w:rPr>
          <w:b/>
          <w:color w:val="181717"/>
          <w:sz w:val="20"/>
        </w:rPr>
      </w:pPr>
    </w:p>
    <w:p w14:paraId="511DF819" w14:textId="63767E0C" w:rsidR="000674D2" w:rsidRDefault="004C4B6D" w:rsidP="000674D2">
      <w:pPr>
        <w:numPr>
          <w:ilvl w:val="0"/>
          <w:numId w:val="1"/>
        </w:numPr>
        <w:spacing w:after="0" w:line="240" w:lineRule="auto"/>
        <w:ind w:left="720" w:right="892"/>
      </w:pPr>
      <w:r>
        <w:rPr>
          <w:color w:val="181717"/>
          <w:sz w:val="20"/>
        </w:rPr>
        <w:t>You should also contact the credit reporting agencies to notify them of any suspected fraud or identity theft.</w:t>
      </w:r>
    </w:p>
    <w:p w14:paraId="53CE8E5D" w14:textId="77777777" w:rsidR="000674D2" w:rsidRPr="000F7591" w:rsidRDefault="000674D2" w:rsidP="000674D2">
      <w:pPr>
        <w:spacing w:after="0" w:line="267" w:lineRule="auto"/>
        <w:ind w:left="360" w:right="892"/>
      </w:pPr>
    </w:p>
    <w:p w14:paraId="01814B00" w14:textId="7EBCC18E" w:rsidR="000F7591" w:rsidRDefault="000F7591" w:rsidP="000674D2">
      <w:pPr>
        <w:spacing w:after="0" w:line="240" w:lineRule="auto"/>
        <w:ind w:right="893"/>
        <w:rPr>
          <w:color w:val="181717"/>
          <w:sz w:val="20"/>
        </w:rPr>
      </w:pPr>
      <w:r>
        <w:rPr>
          <w:color w:val="181717"/>
          <w:sz w:val="20"/>
        </w:rPr>
        <w:t xml:space="preserve">If you believe you are the victim of identity theft, contact your local law enforcement office and/or your state attorney general. Finally, you may also want to consider reviewing information about </w:t>
      </w:r>
      <w:r w:rsidR="005C21A7">
        <w:rPr>
          <w:color w:val="181717"/>
          <w:sz w:val="20"/>
        </w:rPr>
        <w:t>recovering from identity theft, which is available from the Federal Trade Commissio</w:t>
      </w:r>
      <w:r w:rsidR="005C21A7" w:rsidRPr="00B832E2">
        <w:rPr>
          <w:color w:val="181717"/>
          <w:sz w:val="20"/>
        </w:rPr>
        <w:t>n</w:t>
      </w:r>
      <w:r w:rsidR="000820EB" w:rsidRPr="00B832E2">
        <w:rPr>
          <w:color w:val="181717"/>
          <w:sz w:val="20"/>
        </w:rPr>
        <w:t xml:space="preserve"> (FTC)</w:t>
      </w:r>
      <w:r w:rsidR="005C21A7" w:rsidRPr="00B832E2">
        <w:rPr>
          <w:color w:val="181717"/>
          <w:sz w:val="20"/>
        </w:rPr>
        <w:t xml:space="preserve"> at </w:t>
      </w:r>
      <w:hyperlink r:id="rId14" w:history="1">
        <w:r w:rsidR="007144F1" w:rsidRPr="00B832E2">
          <w:rPr>
            <w:rStyle w:val="Hyperlink"/>
            <w:sz w:val="20"/>
          </w:rPr>
          <w:t>https://www.identitytheft.gov/</w:t>
        </w:r>
      </w:hyperlink>
      <w:r w:rsidR="007144F1" w:rsidRPr="00B832E2">
        <w:rPr>
          <w:color w:val="181717"/>
          <w:sz w:val="20"/>
        </w:rPr>
        <w:t xml:space="preserve"> or by calling 1-877-IDTHEFT (</w:t>
      </w:r>
      <w:r w:rsidR="00B832E2">
        <w:rPr>
          <w:color w:val="181717"/>
          <w:sz w:val="20"/>
        </w:rPr>
        <w:t>1-</w:t>
      </w:r>
      <w:r w:rsidR="007144F1" w:rsidRPr="00B832E2">
        <w:rPr>
          <w:color w:val="181717"/>
          <w:sz w:val="20"/>
        </w:rPr>
        <w:t>877</w:t>
      </w:r>
      <w:r w:rsidR="00B832E2">
        <w:rPr>
          <w:color w:val="181717"/>
          <w:sz w:val="20"/>
        </w:rPr>
        <w:t>-</w:t>
      </w:r>
      <w:r w:rsidR="007144F1" w:rsidRPr="00B832E2">
        <w:rPr>
          <w:color w:val="181717"/>
          <w:sz w:val="20"/>
        </w:rPr>
        <w:t>438-4338).</w:t>
      </w:r>
      <w:r w:rsidR="000820EB" w:rsidRPr="00B832E2">
        <w:rPr>
          <w:color w:val="181717"/>
          <w:sz w:val="20"/>
        </w:rPr>
        <w:t xml:space="preserve"> The FTC also offers general information to protect your online presence at </w:t>
      </w:r>
      <w:hyperlink r:id="rId15" w:history="1">
        <w:r w:rsidR="000820EB" w:rsidRPr="00B832E2">
          <w:rPr>
            <w:rStyle w:val="Hyperlink"/>
            <w:sz w:val="20"/>
          </w:rPr>
          <w:t>https://www.consumer.ftc.gov/topics/privacy-identity-online-security</w:t>
        </w:r>
      </w:hyperlink>
      <w:r w:rsidR="000674D2">
        <w:rPr>
          <w:color w:val="181717"/>
          <w:sz w:val="20"/>
        </w:rPr>
        <w:t>.</w:t>
      </w:r>
    </w:p>
    <w:p w14:paraId="4FC2C999" w14:textId="77777777" w:rsidR="000674D2" w:rsidRDefault="000674D2" w:rsidP="000674D2">
      <w:pPr>
        <w:spacing w:after="0" w:line="240" w:lineRule="auto"/>
        <w:ind w:right="893"/>
        <w:rPr>
          <w:color w:val="181717"/>
          <w:sz w:val="20"/>
        </w:rPr>
      </w:pPr>
    </w:p>
    <w:p w14:paraId="5826E1B1" w14:textId="7EF20196" w:rsidR="00182CAF" w:rsidRDefault="00182CAF" w:rsidP="000674D2">
      <w:pPr>
        <w:spacing w:after="0" w:line="240" w:lineRule="auto"/>
        <w:ind w:right="893"/>
        <w:rPr>
          <w:color w:val="181717"/>
          <w:sz w:val="20"/>
        </w:rPr>
      </w:pPr>
      <w:r>
        <w:rPr>
          <w:color w:val="181717"/>
          <w:sz w:val="20"/>
        </w:rPr>
        <w:t>Equifax has established a dedicated toll-free number to answer questions you may have about the Equifax data breach and its effect on your personally</w:t>
      </w:r>
      <w:r w:rsidR="00BA46F4">
        <w:rPr>
          <w:color w:val="181717"/>
          <w:sz w:val="20"/>
        </w:rPr>
        <w:t xml:space="preserve"> </w:t>
      </w:r>
      <w:r>
        <w:rPr>
          <w:color w:val="181717"/>
          <w:sz w:val="20"/>
        </w:rPr>
        <w:t>identifiable information. You may call them at 866-447-7559</w:t>
      </w:r>
      <w:r w:rsidR="007C51B7">
        <w:rPr>
          <w:color w:val="181717"/>
          <w:sz w:val="20"/>
        </w:rPr>
        <w:t>.</w:t>
      </w:r>
    </w:p>
    <w:p w14:paraId="2A5A4FA9" w14:textId="77777777" w:rsidR="000674D2" w:rsidRDefault="000674D2" w:rsidP="000674D2">
      <w:pPr>
        <w:spacing w:after="0" w:line="240" w:lineRule="auto"/>
        <w:ind w:right="893"/>
        <w:rPr>
          <w:color w:val="181717"/>
          <w:sz w:val="20"/>
        </w:rPr>
      </w:pPr>
    </w:p>
    <w:p w14:paraId="65AECF99" w14:textId="77777777" w:rsidR="000674D2" w:rsidRDefault="000674D2" w:rsidP="000674D2">
      <w:pPr>
        <w:spacing w:after="0" w:line="240" w:lineRule="auto"/>
        <w:ind w:right="893"/>
        <w:rPr>
          <w:color w:val="181717"/>
          <w:sz w:val="20"/>
        </w:rPr>
      </w:pPr>
    </w:p>
    <w:p w14:paraId="1AD6649F" w14:textId="77777777" w:rsidR="007C51B7" w:rsidRDefault="007C51B7" w:rsidP="000674D2">
      <w:pPr>
        <w:spacing w:after="0" w:line="240" w:lineRule="auto"/>
        <w:ind w:right="893"/>
        <w:rPr>
          <w:color w:val="181717"/>
          <w:sz w:val="20"/>
        </w:rPr>
      </w:pPr>
      <w:r>
        <w:rPr>
          <w:color w:val="181717"/>
          <w:sz w:val="20"/>
        </w:rPr>
        <w:t>Sincerely,</w:t>
      </w:r>
    </w:p>
    <w:p w14:paraId="2DDEE6C7" w14:textId="77777777" w:rsidR="007C51B7" w:rsidRDefault="007C51B7" w:rsidP="000674D2">
      <w:pPr>
        <w:spacing w:after="0" w:line="267" w:lineRule="auto"/>
        <w:ind w:right="892"/>
        <w:rPr>
          <w:color w:val="181717"/>
          <w:sz w:val="20"/>
        </w:rPr>
      </w:pPr>
    </w:p>
    <w:p w14:paraId="5B4830EA" w14:textId="77777777" w:rsidR="007C51B7" w:rsidRDefault="007C51B7" w:rsidP="000674D2">
      <w:pPr>
        <w:spacing w:after="0" w:line="267" w:lineRule="auto"/>
        <w:ind w:right="892"/>
        <w:rPr>
          <w:color w:val="181717"/>
          <w:sz w:val="20"/>
        </w:rPr>
      </w:pPr>
    </w:p>
    <w:p w14:paraId="7B896BED" w14:textId="77777777" w:rsidR="007C51B7" w:rsidRDefault="007C51B7" w:rsidP="000674D2">
      <w:pPr>
        <w:spacing w:after="0" w:line="267" w:lineRule="auto"/>
        <w:ind w:right="892"/>
      </w:pPr>
    </w:p>
    <w:p w14:paraId="61FE6B04" w14:textId="77777777" w:rsidR="007632D4" w:rsidRDefault="007632D4" w:rsidP="000674D2">
      <w:pPr>
        <w:spacing w:after="0"/>
      </w:pPr>
    </w:p>
    <w:sectPr w:rsidR="007632D4" w:rsidSect="00067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0C9"/>
    <w:multiLevelType w:val="hybridMultilevel"/>
    <w:tmpl w:val="7C44D340"/>
    <w:lvl w:ilvl="0" w:tplc="F92836A4">
      <w:start w:val="1"/>
      <w:numFmt w:val="decimal"/>
      <w:lvlText w:val="%1."/>
      <w:lvlJc w:val="left"/>
      <w:pPr>
        <w:ind w:left="9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E54C0">
      <w:start w:val="1"/>
      <w:numFmt w:val="lowerLetter"/>
      <w:lvlText w:val="%2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38E962">
      <w:start w:val="1"/>
      <w:numFmt w:val="lowerRoman"/>
      <w:lvlText w:val="%3"/>
      <w:lvlJc w:val="left"/>
      <w:pPr>
        <w:ind w:left="19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54D73A">
      <w:start w:val="1"/>
      <w:numFmt w:val="decimal"/>
      <w:lvlText w:val="%4"/>
      <w:lvlJc w:val="left"/>
      <w:pPr>
        <w:ind w:left="27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8D55A">
      <w:start w:val="1"/>
      <w:numFmt w:val="lowerLetter"/>
      <w:lvlText w:val="%5"/>
      <w:lvlJc w:val="left"/>
      <w:pPr>
        <w:ind w:left="34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A4F718">
      <w:start w:val="1"/>
      <w:numFmt w:val="lowerRoman"/>
      <w:lvlText w:val="%6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6293A">
      <w:start w:val="1"/>
      <w:numFmt w:val="decimal"/>
      <w:lvlText w:val="%7"/>
      <w:lvlJc w:val="left"/>
      <w:pPr>
        <w:ind w:left="48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56EF2A">
      <w:start w:val="1"/>
      <w:numFmt w:val="lowerLetter"/>
      <w:lvlText w:val="%8"/>
      <w:lvlJc w:val="left"/>
      <w:pPr>
        <w:ind w:left="55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E895DC">
      <w:start w:val="1"/>
      <w:numFmt w:val="lowerRoman"/>
      <w:lvlText w:val="%9"/>
      <w:lvlJc w:val="left"/>
      <w:pPr>
        <w:ind w:left="63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BB4A48"/>
    <w:multiLevelType w:val="hybridMultilevel"/>
    <w:tmpl w:val="DD685B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A3"/>
    <w:rsid w:val="00052FD2"/>
    <w:rsid w:val="000674D2"/>
    <w:rsid w:val="000820EB"/>
    <w:rsid w:val="00094A52"/>
    <w:rsid w:val="000B6247"/>
    <w:rsid w:val="000F7591"/>
    <w:rsid w:val="00134E6A"/>
    <w:rsid w:val="00182CAF"/>
    <w:rsid w:val="00186FB5"/>
    <w:rsid w:val="001909B7"/>
    <w:rsid w:val="001C31E8"/>
    <w:rsid w:val="00243654"/>
    <w:rsid w:val="002A06AD"/>
    <w:rsid w:val="002F632A"/>
    <w:rsid w:val="002F7E7A"/>
    <w:rsid w:val="00337A2B"/>
    <w:rsid w:val="0038303C"/>
    <w:rsid w:val="003879C4"/>
    <w:rsid w:val="003B5EC4"/>
    <w:rsid w:val="004312A3"/>
    <w:rsid w:val="004324D2"/>
    <w:rsid w:val="00463D92"/>
    <w:rsid w:val="004B48B1"/>
    <w:rsid w:val="004C4B6D"/>
    <w:rsid w:val="00593513"/>
    <w:rsid w:val="005C21A7"/>
    <w:rsid w:val="005D03D4"/>
    <w:rsid w:val="00631448"/>
    <w:rsid w:val="00691832"/>
    <w:rsid w:val="006D29D0"/>
    <w:rsid w:val="007144F1"/>
    <w:rsid w:val="007511C7"/>
    <w:rsid w:val="007632D4"/>
    <w:rsid w:val="00764F17"/>
    <w:rsid w:val="007B225D"/>
    <w:rsid w:val="007C51B7"/>
    <w:rsid w:val="009723BA"/>
    <w:rsid w:val="00A33E94"/>
    <w:rsid w:val="00A40C85"/>
    <w:rsid w:val="00A47827"/>
    <w:rsid w:val="00A74A25"/>
    <w:rsid w:val="00AE08A9"/>
    <w:rsid w:val="00AE1BEF"/>
    <w:rsid w:val="00B832E2"/>
    <w:rsid w:val="00B85969"/>
    <w:rsid w:val="00BA0C04"/>
    <w:rsid w:val="00BA46F4"/>
    <w:rsid w:val="00BB3342"/>
    <w:rsid w:val="00C62B28"/>
    <w:rsid w:val="00C71856"/>
    <w:rsid w:val="00CB25D9"/>
    <w:rsid w:val="00D01B28"/>
    <w:rsid w:val="00D220AF"/>
    <w:rsid w:val="00E266EA"/>
    <w:rsid w:val="00E430C7"/>
    <w:rsid w:val="00ED42DB"/>
    <w:rsid w:val="00F5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C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8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9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36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8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9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3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ftc.gov/articles/0275-place-fraud-alert" TargetMode="External"/><Relationship Id="rId13" Type="http://schemas.openxmlformats.org/officeDocument/2006/relationships/hyperlink" Target="http://www.equifax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quifaxsecurity2017.com" TargetMode="External"/><Relationship Id="rId12" Type="http://schemas.openxmlformats.org/officeDocument/2006/relationships/hyperlink" Target="http://www.transuni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perian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mer.ftc.gov/topics/privacy-identity-online-security" TargetMode="External"/><Relationship Id="rId10" Type="http://schemas.openxmlformats.org/officeDocument/2006/relationships/hyperlink" Target="http://www.annualcreditreport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mer.ftc.gov/articles/0497-credit-freeze-faqs" TargetMode="External"/><Relationship Id="rId14" Type="http://schemas.openxmlformats.org/officeDocument/2006/relationships/hyperlink" Target="https://www.identitytheft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1D55-C5D7-4931-AAAC-476E6E88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Dalpiaz</dc:creator>
  <cp:keywords/>
  <dc:description/>
  <cp:lastModifiedBy>Kristin Lee</cp:lastModifiedBy>
  <cp:revision>3</cp:revision>
  <cp:lastPrinted>2017-09-12T20:37:00Z</cp:lastPrinted>
  <dcterms:created xsi:type="dcterms:W3CDTF">2017-09-13T21:33:00Z</dcterms:created>
  <dcterms:modified xsi:type="dcterms:W3CDTF">2017-09-15T14:20:00Z</dcterms:modified>
</cp:coreProperties>
</file>